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02" w:rsidRDefault="00DA2602" w:rsidP="00DA2602">
      <w:pPr>
        <w:rPr>
          <w:rFonts w:ascii="Arial" w:eastAsia="Times New Roman" w:hAnsi="Arial" w:cs="Arial"/>
          <w:sz w:val="27"/>
          <w:szCs w:val="27"/>
        </w:rPr>
      </w:pPr>
      <w:r>
        <w:rPr>
          <w:rFonts w:ascii="Arial" w:eastAsia="Times New Roman" w:hAnsi="Arial" w:cs="Arial"/>
          <w:sz w:val="27"/>
          <w:szCs w:val="27"/>
        </w:rPr>
        <w:t>To create a temporary record:</w:t>
      </w:r>
    </w:p>
    <w:p w:rsidR="00DA2602" w:rsidRDefault="00DA2602" w:rsidP="00DA2602">
      <w:pPr>
        <w:rPr>
          <w:rFonts w:ascii="Arial" w:eastAsia="Times New Roman" w:hAnsi="Arial" w:cs="Arial"/>
          <w:sz w:val="27"/>
          <w:szCs w:val="27"/>
        </w:rPr>
      </w:pPr>
      <w:r>
        <w:rPr>
          <w:rFonts w:ascii="Arial" w:eastAsia="Times New Roman" w:hAnsi="Arial" w:cs="Arial"/>
          <w:sz w:val="27"/>
          <w:szCs w:val="27"/>
        </w:rPr>
        <w:t>1. In the Loan mode, scan the patron's barcode.</w:t>
      </w:r>
    </w:p>
    <w:p w:rsidR="00DA2602" w:rsidRDefault="00DA2602" w:rsidP="00DA2602">
      <w:pPr>
        <w:rPr>
          <w:rFonts w:ascii="Arial" w:eastAsia="Times New Roman" w:hAnsi="Arial" w:cs="Arial"/>
          <w:sz w:val="27"/>
          <w:szCs w:val="27"/>
        </w:rPr>
      </w:pPr>
      <w:r>
        <w:rPr>
          <w:rFonts w:ascii="Arial" w:eastAsia="Times New Roman" w:hAnsi="Arial" w:cs="Arial"/>
          <w:sz w:val="27"/>
          <w:szCs w:val="27"/>
        </w:rPr>
        <w:t xml:space="preserve">2. On the Item menu, select Add Bibliographic. </w:t>
      </w:r>
      <w:r>
        <w:rPr>
          <w:rFonts w:ascii="Arial" w:eastAsia="Times New Roman" w:hAnsi="Arial" w:cs="Arial"/>
          <w:noProof/>
          <w:sz w:val="27"/>
          <w:szCs w:val="27"/>
        </w:rPr>
        <w:drawing>
          <wp:inline distT="0" distB="0" distL="0" distR="0">
            <wp:extent cx="561022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3810000"/>
                    </a:xfrm>
                    <a:prstGeom prst="rect">
                      <a:avLst/>
                    </a:prstGeom>
                    <a:noFill/>
                    <a:ln>
                      <a:noFill/>
                    </a:ln>
                  </pic:spPr>
                </pic:pic>
              </a:graphicData>
            </a:graphic>
          </wp:inline>
        </w:drawing>
      </w:r>
    </w:p>
    <w:p w:rsidR="00DA2602" w:rsidRDefault="00DA2602" w:rsidP="00DA2602">
      <w:pPr>
        <w:rPr>
          <w:rFonts w:ascii="Arial" w:eastAsia="Times New Roman" w:hAnsi="Arial" w:cs="Arial"/>
          <w:sz w:val="27"/>
          <w:szCs w:val="27"/>
        </w:rPr>
      </w:pPr>
      <w:r>
        <w:rPr>
          <w:rFonts w:ascii="Arial" w:eastAsia="Times New Roman" w:hAnsi="Arial" w:cs="Arial"/>
          <w:sz w:val="27"/>
          <w:szCs w:val="27"/>
        </w:rPr>
        <w:t xml:space="preserve">3. Select a template and then click OK. (Tip: Create an ILL template in Cataloging to include the fields you need, such as author and title.) This opens a blank Create New Bibliographic Record window. </w:t>
      </w:r>
      <w:r>
        <w:rPr>
          <w:noProof/>
        </w:rPr>
        <w:drawing>
          <wp:inline distT="0" distB="0" distL="0" distR="0" wp14:anchorId="702F8044" wp14:editId="3E0629A9">
            <wp:extent cx="295275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2750" cy="2352675"/>
                    </a:xfrm>
                    <a:prstGeom prst="rect">
                      <a:avLst/>
                    </a:prstGeom>
                  </pic:spPr>
                </pic:pic>
              </a:graphicData>
            </a:graphic>
          </wp:inline>
        </w:drawing>
      </w:r>
    </w:p>
    <w:p w:rsidR="00DA2602" w:rsidRDefault="00DA2602" w:rsidP="00DA2602">
      <w:pPr>
        <w:rPr>
          <w:rFonts w:ascii="Arial" w:eastAsia="Times New Roman" w:hAnsi="Arial" w:cs="Arial"/>
          <w:sz w:val="27"/>
          <w:szCs w:val="27"/>
        </w:rPr>
      </w:pPr>
      <w:r>
        <w:rPr>
          <w:rFonts w:ascii="Arial" w:eastAsia="Times New Roman" w:hAnsi="Arial" w:cs="Arial"/>
          <w:sz w:val="27"/>
          <w:szCs w:val="27"/>
        </w:rPr>
        <w:t xml:space="preserve">4. Add as little or as much bibliographic information as the record requires. In the 852 field, type the lending library name in the subfield </w:t>
      </w:r>
      <w:proofErr w:type="gramStart"/>
      <w:r>
        <w:rPr>
          <w:rFonts w:ascii="Arial" w:eastAsia="Times New Roman" w:hAnsi="Arial" w:cs="Arial"/>
          <w:sz w:val="27"/>
          <w:szCs w:val="27"/>
        </w:rPr>
        <w:t>a and</w:t>
      </w:r>
      <w:proofErr w:type="gramEnd"/>
      <w:r>
        <w:rPr>
          <w:rFonts w:ascii="Arial" w:eastAsia="Times New Roman" w:hAnsi="Arial" w:cs="Arial"/>
          <w:sz w:val="27"/>
          <w:szCs w:val="27"/>
        </w:rPr>
        <w:t xml:space="preserve"> "ILL" in subfield k. This step helps you track lenders, print lists and reports.</w:t>
      </w:r>
    </w:p>
    <w:p w:rsidR="00DA2602" w:rsidRDefault="00DA2602" w:rsidP="00DA2602">
      <w:pPr>
        <w:rPr>
          <w:rFonts w:ascii="Arial" w:eastAsia="Times New Roman" w:hAnsi="Arial" w:cs="Arial"/>
          <w:sz w:val="27"/>
          <w:szCs w:val="27"/>
        </w:rPr>
      </w:pPr>
      <w:r>
        <w:rPr>
          <w:rFonts w:ascii="Arial" w:eastAsia="Times New Roman" w:hAnsi="Arial" w:cs="Arial"/>
          <w:sz w:val="27"/>
          <w:szCs w:val="27"/>
        </w:rPr>
        <w:t xml:space="preserve">5. Click OK to accept. </w:t>
      </w:r>
    </w:p>
    <w:p w:rsidR="00DA2602" w:rsidRDefault="00DA2602" w:rsidP="00DA2602">
      <w:pPr>
        <w:rPr>
          <w:rFonts w:ascii="Arial" w:eastAsia="Times New Roman" w:hAnsi="Arial" w:cs="Arial"/>
          <w:sz w:val="27"/>
          <w:szCs w:val="27"/>
        </w:rPr>
      </w:pPr>
      <w:r>
        <w:rPr>
          <w:rFonts w:ascii="Arial" w:eastAsia="Times New Roman" w:hAnsi="Arial" w:cs="Arial"/>
          <w:sz w:val="27"/>
          <w:szCs w:val="27"/>
        </w:rPr>
        <w:lastRenderedPageBreak/>
        <w:t xml:space="preserve">6. </w:t>
      </w:r>
      <w:proofErr w:type="gramStart"/>
      <w:r>
        <w:rPr>
          <w:rFonts w:ascii="Arial" w:eastAsia="Times New Roman" w:hAnsi="Arial" w:cs="Arial"/>
          <w:sz w:val="27"/>
          <w:szCs w:val="27"/>
        </w:rPr>
        <w:t>At</w:t>
      </w:r>
      <w:proofErr w:type="gramEnd"/>
      <w:r>
        <w:rPr>
          <w:rFonts w:ascii="Arial" w:eastAsia="Times New Roman" w:hAnsi="Arial" w:cs="Arial"/>
          <w:sz w:val="27"/>
          <w:szCs w:val="27"/>
        </w:rPr>
        <w:t xml:space="preserve"> the prompt -Create Holding Record? - click </w:t>
      </w:r>
      <w:proofErr w:type="gramStart"/>
      <w:r>
        <w:rPr>
          <w:rFonts w:ascii="Arial" w:eastAsia="Times New Roman" w:hAnsi="Arial" w:cs="Arial"/>
          <w:sz w:val="27"/>
          <w:szCs w:val="27"/>
        </w:rPr>
        <w:t>Yes</w:t>
      </w:r>
      <w:proofErr w:type="gramEnd"/>
      <w:r>
        <w:rPr>
          <w:rFonts w:ascii="Arial" w:eastAsia="Times New Roman" w:hAnsi="Arial" w:cs="Arial"/>
          <w:sz w:val="27"/>
          <w:szCs w:val="27"/>
        </w:rPr>
        <w:t xml:space="preserve">. </w:t>
      </w:r>
    </w:p>
    <w:p w:rsidR="00DA2602" w:rsidRDefault="00DA2602" w:rsidP="00DA2602">
      <w:pPr>
        <w:rPr>
          <w:rFonts w:ascii="Arial" w:eastAsia="Times New Roman" w:hAnsi="Arial" w:cs="Arial"/>
          <w:sz w:val="27"/>
          <w:szCs w:val="27"/>
        </w:rPr>
      </w:pPr>
      <w:r>
        <w:rPr>
          <w:rFonts w:ascii="Arial" w:eastAsia="Times New Roman" w:hAnsi="Arial" w:cs="Arial"/>
          <w:sz w:val="27"/>
          <w:szCs w:val="27"/>
        </w:rPr>
        <w:t>7. Add the call number on the book, if desired. (Tip: If you do not type in a call number, at least put ILL in the prefix - subfield k. This signals your patrons when they come across the item in your OPAC. It also gives more options in searching and sorting records in your database.)</w:t>
      </w:r>
      <w:bookmarkStart w:id="0" w:name="_GoBack"/>
      <w:bookmarkEnd w:id="0"/>
    </w:p>
    <w:p w:rsidR="00DA2602" w:rsidRDefault="00DA2602" w:rsidP="00DA2602">
      <w:pPr>
        <w:rPr>
          <w:rFonts w:ascii="Arial" w:eastAsia="Times New Roman" w:hAnsi="Arial" w:cs="Arial"/>
          <w:sz w:val="27"/>
          <w:szCs w:val="27"/>
        </w:rPr>
      </w:pPr>
      <w:r>
        <w:rPr>
          <w:rFonts w:ascii="Arial" w:eastAsia="Times New Roman" w:hAnsi="Arial" w:cs="Arial"/>
          <w:sz w:val="27"/>
          <w:szCs w:val="27"/>
        </w:rPr>
        <w:t xml:space="preserve">8. Insert the barcode already on the book into the 852#p, if this does not conflict with your library's barcode range. Assign the item group. (Tip: Create an ILL item group in Group Editor.) </w:t>
      </w:r>
    </w:p>
    <w:p w:rsidR="00DA2602" w:rsidRDefault="0078756F" w:rsidP="00DA2602">
      <w:pPr>
        <w:rPr>
          <w:rFonts w:ascii="Arial" w:eastAsia="Times New Roman" w:hAnsi="Arial" w:cs="Arial"/>
          <w:sz w:val="27"/>
          <w:szCs w:val="27"/>
        </w:rPr>
      </w:pPr>
      <w:r>
        <w:rPr>
          <w:rFonts w:ascii="Arial" w:eastAsia="Times New Roman" w:hAnsi="Arial" w:cs="Arial"/>
          <w:noProof/>
          <w:sz w:val="27"/>
          <w:szCs w:val="27"/>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775335</wp:posOffset>
                </wp:positionV>
                <wp:extent cx="447675" cy="2286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447675" cy="228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BDBDB" id="Rectangle 4" o:spid="_x0000_s1026" style="position:absolute;margin-left:482.25pt;margin-top:61.05pt;width:35.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" filled="f" strokecolor="#7030a0" strokeweight="3pt"/>
            </w:pict>
          </mc:Fallback>
        </mc:AlternateContent>
      </w:r>
      <w:r w:rsidR="00DA2602">
        <w:rPr>
          <w:rFonts w:ascii="Arial" w:eastAsia="Times New Roman" w:hAnsi="Arial" w:cs="Arial"/>
          <w:sz w:val="27"/>
          <w:szCs w:val="27"/>
        </w:rPr>
        <w:t xml:space="preserve">9. Select the Temp check box before saving. This marks the record for deletion upon return. </w:t>
      </w:r>
      <w:r>
        <w:rPr>
          <w:noProof/>
        </w:rPr>
        <w:drawing>
          <wp:inline distT="0" distB="0" distL="0" distR="0" wp14:anchorId="297659D2" wp14:editId="7DC50DDE">
            <wp:extent cx="6584035" cy="3257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94136" cy="3262547"/>
                    </a:xfrm>
                    <a:prstGeom prst="rect">
                      <a:avLst/>
                    </a:prstGeom>
                  </pic:spPr>
                </pic:pic>
              </a:graphicData>
            </a:graphic>
          </wp:inline>
        </w:drawing>
      </w:r>
    </w:p>
    <w:p w:rsidR="00DA2602" w:rsidRDefault="00DA2602" w:rsidP="00DA2602">
      <w:pPr>
        <w:rPr>
          <w:rFonts w:ascii="Arial" w:eastAsia="Times New Roman" w:hAnsi="Arial" w:cs="Arial"/>
          <w:sz w:val="27"/>
          <w:szCs w:val="27"/>
        </w:rPr>
      </w:pPr>
      <w:r>
        <w:rPr>
          <w:rFonts w:ascii="Arial" w:eastAsia="Times New Roman" w:hAnsi="Arial" w:cs="Arial"/>
          <w:sz w:val="27"/>
          <w:szCs w:val="27"/>
        </w:rPr>
        <w:t>10. Click OK to save and the item is immediately checked out to the patron.</w:t>
      </w:r>
    </w:p>
    <w:p w:rsidR="00DA2602" w:rsidRDefault="00DA2602" w:rsidP="00DA2602">
      <w:pPr>
        <w:rPr>
          <w:rFonts w:ascii="Arial" w:eastAsia="Times New Roman" w:hAnsi="Arial" w:cs="Arial"/>
          <w:sz w:val="27"/>
          <w:szCs w:val="27"/>
        </w:rPr>
      </w:pPr>
      <w:r>
        <w:rPr>
          <w:rFonts w:ascii="Arial" w:eastAsia="Times New Roman" w:hAnsi="Arial" w:cs="Arial"/>
          <w:sz w:val="27"/>
          <w:szCs w:val="27"/>
        </w:rPr>
        <w:t>When the item is returned and you scan the barcode on the book, the temporary record created is automatically deleted. The item is no longer shown in your OPAC, but the record is still available in your database for statistical or other reports.</w:t>
      </w:r>
    </w:p>
    <w:p w:rsidR="002F2CD1" w:rsidRDefault="002F2CD1"/>
    <w:sectPr w:rsidR="002F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02"/>
    <w:rsid w:val="002F2CD1"/>
    <w:rsid w:val="0078756F"/>
    <w:rsid w:val="00DA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1A84-0034-401E-85FC-BAF0D31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6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Hancock</dc:creator>
  <cp:keywords/>
  <dc:description/>
  <cp:lastModifiedBy>Mary Hancock</cp:lastModifiedBy>
  <cp:revision>1</cp:revision>
  <dcterms:created xsi:type="dcterms:W3CDTF">2016-10-25T14:51:00Z</dcterms:created>
  <dcterms:modified xsi:type="dcterms:W3CDTF">2016-10-25T15:03:00Z</dcterms:modified>
</cp:coreProperties>
</file>